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</w:tblGrid>
      <w:tr w:rsidR="008842D9" w:rsidTr="008842D9">
        <w:trPr>
          <w:trHeight w:val="1627"/>
        </w:trPr>
        <w:tc>
          <w:tcPr>
            <w:tcW w:w="5000" w:type="pct"/>
            <w:vAlign w:val="bottom"/>
            <w:hideMark/>
          </w:tcPr>
          <w:p w:rsidR="008842D9" w:rsidRDefault="008842D9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-5715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42D9" w:rsidTr="008842D9">
        <w:trPr>
          <w:trHeight w:val="1429"/>
        </w:trPr>
        <w:tc>
          <w:tcPr>
            <w:tcW w:w="5000" w:type="pct"/>
            <w:hideMark/>
          </w:tcPr>
          <w:p w:rsidR="008842D9" w:rsidRDefault="008842D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842D9" w:rsidRDefault="008842D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АДМИНИСТРАЦИЯ УНАРОКОВСКОГО СЕЛЬСКОГО ПОСЕЛЕНИЯ</w:t>
            </w:r>
          </w:p>
          <w:p w:rsidR="008842D9" w:rsidRDefault="008842D9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8842D9" w:rsidRDefault="008842D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842D9" w:rsidTr="008842D9">
        <w:trPr>
          <w:trHeight w:val="360"/>
        </w:trPr>
        <w:tc>
          <w:tcPr>
            <w:tcW w:w="5000" w:type="pct"/>
            <w:hideMark/>
          </w:tcPr>
          <w:p w:rsidR="008842D9" w:rsidRDefault="008842D9" w:rsidP="004C377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4C3770">
              <w:rPr>
                <w:rFonts w:eastAsia="Calibri"/>
                <w:sz w:val="28"/>
                <w:szCs w:val="28"/>
              </w:rPr>
              <w:t>29.06.2015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</w:t>
            </w:r>
            <w:r w:rsidR="004C3770">
              <w:rPr>
                <w:rFonts w:eastAsia="Calibri"/>
                <w:sz w:val="28"/>
                <w:szCs w:val="28"/>
              </w:rPr>
              <w:t>№ 68</w:t>
            </w:r>
          </w:p>
        </w:tc>
      </w:tr>
      <w:tr w:rsidR="008842D9" w:rsidTr="008842D9">
        <w:tc>
          <w:tcPr>
            <w:tcW w:w="5000" w:type="pct"/>
          </w:tcPr>
          <w:p w:rsidR="008842D9" w:rsidRDefault="008842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sz w:val="28"/>
                <w:szCs w:val="28"/>
              </w:rPr>
              <w:t>Унароково</w:t>
            </w:r>
            <w:proofErr w:type="spellEnd"/>
          </w:p>
          <w:p w:rsidR="008842D9" w:rsidRDefault="008842D9">
            <w:pPr>
              <w:rPr>
                <w:rFonts w:eastAsia="Calibri"/>
                <w:b/>
              </w:rPr>
            </w:pPr>
          </w:p>
        </w:tc>
      </w:tr>
    </w:tbl>
    <w:p w:rsidR="008842D9" w:rsidRDefault="008842D9" w:rsidP="008842D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8842D9" w:rsidRDefault="008842D9" w:rsidP="008842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мониторинга </w:t>
      </w:r>
      <w:proofErr w:type="spellStart"/>
      <w:r>
        <w:rPr>
          <w:b/>
          <w:sz w:val="28"/>
          <w:szCs w:val="28"/>
        </w:rPr>
        <w:t>правоприменения</w:t>
      </w:r>
      <w:proofErr w:type="spellEnd"/>
      <w:r>
        <w:rPr>
          <w:b/>
          <w:sz w:val="28"/>
          <w:szCs w:val="28"/>
        </w:rPr>
        <w:t xml:space="preserve"> муниципальных нормативных правовых актов администрации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 поселения Мостовского района</w:t>
      </w:r>
    </w:p>
    <w:p w:rsidR="008842D9" w:rsidRDefault="008842D9" w:rsidP="008842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</w:t>
      </w:r>
    </w:p>
    <w:p w:rsidR="008842D9" w:rsidRDefault="008842D9" w:rsidP="008842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842D9" w:rsidRDefault="008842D9" w:rsidP="008842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проведения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согласно приложению.</w:t>
      </w:r>
    </w:p>
    <w:p w:rsidR="008842D9" w:rsidRDefault="008842D9" w:rsidP="008842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42D9" w:rsidRDefault="008842D9" w:rsidP="008842D9">
      <w:pPr>
        <w:pStyle w:val="ConsPlusNormal"/>
        <w:widowControl/>
        <w:tabs>
          <w:tab w:val="left" w:pos="567"/>
        </w:tabs>
        <w:spacing w:line="276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подписания.</w:t>
      </w: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Мостовского района                                                   И.И.Скобелев</w:t>
      </w: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842D9" w:rsidRDefault="008842D9" w:rsidP="008842D9">
      <w:pPr>
        <w:tabs>
          <w:tab w:val="left" w:pos="567"/>
        </w:tabs>
        <w:ind w:left="5103"/>
        <w:jc w:val="center"/>
        <w:rPr>
          <w:sz w:val="28"/>
          <w:szCs w:val="28"/>
        </w:rPr>
      </w:pPr>
    </w:p>
    <w:p w:rsidR="008842D9" w:rsidRDefault="008842D9" w:rsidP="008842D9">
      <w:pPr>
        <w:tabs>
          <w:tab w:val="left" w:pos="567"/>
        </w:tabs>
        <w:ind w:left="5103"/>
        <w:jc w:val="center"/>
        <w:rPr>
          <w:sz w:val="28"/>
          <w:szCs w:val="28"/>
        </w:rPr>
      </w:pPr>
    </w:p>
    <w:p w:rsidR="008842D9" w:rsidRDefault="008842D9" w:rsidP="008842D9">
      <w:pPr>
        <w:tabs>
          <w:tab w:val="left" w:pos="567"/>
        </w:tabs>
        <w:ind w:left="5103"/>
        <w:jc w:val="center"/>
        <w:rPr>
          <w:sz w:val="28"/>
          <w:szCs w:val="28"/>
        </w:rPr>
      </w:pPr>
    </w:p>
    <w:p w:rsidR="008842D9" w:rsidRDefault="008842D9" w:rsidP="008842D9">
      <w:pPr>
        <w:tabs>
          <w:tab w:val="left" w:pos="3945"/>
        </w:tabs>
        <w:ind w:right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8842D9" w:rsidRDefault="008842D9" w:rsidP="00884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Мостовского района от</w:t>
      </w:r>
      <w:r w:rsidR="004C3770">
        <w:rPr>
          <w:sz w:val="28"/>
          <w:szCs w:val="28"/>
        </w:rPr>
        <w:t xml:space="preserve"> 29.06.2015  №68</w:t>
      </w:r>
    </w:p>
    <w:p w:rsidR="008842D9" w:rsidRDefault="008842D9" w:rsidP="008842D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«Об утверждении Порядка проведения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>
        <w:rPr>
          <w:sz w:val="28"/>
          <w:szCs w:val="28"/>
          <w:lang w:eastAsia="ar-SA"/>
        </w:rPr>
        <w:t>»</w:t>
      </w: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8842D9" w:rsidRDefault="008842D9" w:rsidP="008842D9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</w:t>
      </w:r>
    </w:p>
    <w:p w:rsidR="008842D9" w:rsidRDefault="008842D9" w:rsidP="008842D9">
      <w:pPr>
        <w:overflowPunct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И.И.Скобелев</w:t>
      </w:r>
    </w:p>
    <w:p w:rsidR="008842D9" w:rsidRDefault="008842D9" w:rsidP="00884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2D9" w:rsidRDefault="008842D9" w:rsidP="008842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351"/>
      </w:tblGrid>
      <w:tr w:rsidR="008842D9" w:rsidTr="008842D9">
        <w:trPr>
          <w:trHeight w:val="982"/>
        </w:trPr>
        <w:tc>
          <w:tcPr>
            <w:tcW w:w="6804" w:type="dxa"/>
            <w:hideMark/>
          </w:tcPr>
          <w:p w:rsidR="008842D9" w:rsidRDefault="008842D9">
            <w:pPr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Проект подготовлен: </w:t>
            </w:r>
          </w:p>
          <w:p w:rsidR="008842D9" w:rsidRDefault="008842D9" w:rsidP="008842D9">
            <w:pPr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8842D9" w:rsidRDefault="008842D9" w:rsidP="008842D9">
            <w:pPr>
              <w:overflowPunct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Унароковского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О.А.Орлова</w:t>
            </w:r>
          </w:p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</w:tcPr>
          <w:p w:rsidR="008842D9" w:rsidRDefault="008842D9">
            <w:pPr>
              <w:rPr>
                <w:kern w:val="2"/>
                <w:sz w:val="28"/>
                <w:szCs w:val="28"/>
                <w:lang w:eastAsia="ar-SA"/>
              </w:rPr>
            </w:pPr>
          </w:p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  <w:hideMark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  <w:hideMark/>
          </w:tcPr>
          <w:p w:rsidR="008842D9" w:rsidRDefault="008842D9" w:rsidP="008842D9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Начальник общего отдела                                                                 </w:t>
            </w:r>
          </w:p>
        </w:tc>
        <w:tc>
          <w:tcPr>
            <w:tcW w:w="2351" w:type="dxa"/>
            <w:hideMark/>
          </w:tcPr>
          <w:p w:rsidR="008842D9" w:rsidRDefault="008842D9" w:rsidP="008842D9">
            <w:pPr>
              <w:ind w:left="-841" w:firstLine="141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           И.В.Соколова</w:t>
            </w:r>
          </w:p>
        </w:tc>
      </w:tr>
      <w:tr w:rsidR="008842D9" w:rsidTr="008842D9">
        <w:tc>
          <w:tcPr>
            <w:tcW w:w="6804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8842D9" w:rsidTr="008842D9">
        <w:tc>
          <w:tcPr>
            <w:tcW w:w="6804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51" w:type="dxa"/>
          </w:tcPr>
          <w:p w:rsidR="008842D9" w:rsidRDefault="008842D9">
            <w:pPr>
              <w:suppressAutoHyphens/>
              <w:overflowPunct w:val="0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842D9" w:rsidRDefault="008842D9" w:rsidP="008842D9">
      <w:pPr>
        <w:tabs>
          <w:tab w:val="left" w:pos="4820"/>
        </w:tabs>
        <w:suppressAutoHyphens/>
        <w:ind w:firstLine="567"/>
        <w:jc w:val="right"/>
        <w:rPr>
          <w:sz w:val="28"/>
          <w:szCs w:val="28"/>
          <w:lang w:eastAsia="ar-SA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tabs>
          <w:tab w:val="left" w:pos="2790"/>
          <w:tab w:val="center" w:pos="4819"/>
        </w:tabs>
        <w:rPr>
          <w:b/>
          <w:sz w:val="28"/>
          <w:szCs w:val="28"/>
        </w:rPr>
      </w:pPr>
    </w:p>
    <w:p w:rsidR="008842D9" w:rsidRDefault="008842D9" w:rsidP="004C3770">
      <w:pPr>
        <w:tabs>
          <w:tab w:val="left" w:pos="567"/>
        </w:tabs>
        <w:rPr>
          <w:sz w:val="28"/>
          <w:szCs w:val="28"/>
        </w:rPr>
      </w:pPr>
    </w:p>
    <w:p w:rsidR="008842D9" w:rsidRDefault="008842D9" w:rsidP="004C3770">
      <w:pPr>
        <w:tabs>
          <w:tab w:val="left" w:pos="56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42D9" w:rsidRDefault="008842D9" w:rsidP="008842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8842D9" w:rsidRDefault="008842D9" w:rsidP="008842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842D9" w:rsidRDefault="008842D9" w:rsidP="008842D9">
      <w:pPr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842D9" w:rsidRDefault="008842D9" w:rsidP="008842D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8842D9" w:rsidRDefault="004C3770" w:rsidP="008842D9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842D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29.06.2015 </w:t>
      </w:r>
      <w:r w:rsidR="008842D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68</w:t>
      </w:r>
      <w:bookmarkStart w:id="0" w:name="_GoBack"/>
      <w:bookmarkEnd w:id="0"/>
    </w:p>
    <w:p w:rsidR="008842D9" w:rsidRDefault="008842D9" w:rsidP="008842D9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842D9" w:rsidRDefault="008842D9" w:rsidP="008842D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мониторинга </w:t>
      </w:r>
      <w:proofErr w:type="spellStart"/>
      <w:r>
        <w:rPr>
          <w:b/>
          <w:bCs/>
          <w:sz w:val="28"/>
          <w:szCs w:val="28"/>
        </w:rPr>
        <w:t>правоприменения</w:t>
      </w:r>
      <w:proofErr w:type="spellEnd"/>
      <w:r>
        <w:rPr>
          <w:b/>
          <w:bCs/>
          <w:sz w:val="28"/>
          <w:szCs w:val="28"/>
        </w:rPr>
        <w:t xml:space="preserve"> муниципальных нормативных правовых актов администрации </w:t>
      </w:r>
      <w:proofErr w:type="spellStart"/>
      <w:r>
        <w:rPr>
          <w:b/>
          <w:bCs/>
          <w:sz w:val="28"/>
          <w:szCs w:val="28"/>
        </w:rPr>
        <w:t>Унароковского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Мостовского района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1" w:name="sub_21"/>
      <w:r>
        <w:rPr>
          <w:sz w:val="28"/>
          <w:szCs w:val="28"/>
        </w:rPr>
        <w:t xml:space="preserve"> Настоящий Порядок определяет правила и  показатели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(далее - Порядок).</w:t>
      </w:r>
    </w:p>
    <w:bookmarkEnd w:id="1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осуществляется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района, противодействия коррупции, совершенствования нормотворческой деятельности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2" w:name="sub_22"/>
      <w:r>
        <w:rPr>
          <w:sz w:val="28"/>
          <w:szCs w:val="28"/>
        </w:rPr>
        <w:t xml:space="preserve">2. В соответствии с настоящим Порядком проводятся текущий и оперативный виды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bookmarkEnd w:id="2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мониторинг осуществляется на регулярной основе в отношении отрасли (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>) законодательства и группы нормативных правовых актов.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мониторинг осуществляется в течение первого года действия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3" w:name="sub_23"/>
      <w:r>
        <w:rPr>
          <w:sz w:val="28"/>
          <w:szCs w:val="28"/>
        </w:rPr>
        <w:t xml:space="preserve">3.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4" w:name="sub_24"/>
      <w:bookmarkEnd w:id="3"/>
      <w:r>
        <w:rPr>
          <w:sz w:val="28"/>
          <w:szCs w:val="28"/>
        </w:rPr>
        <w:t>4. Инициаторами проведения мониторинга могут выступать:</w:t>
      </w:r>
    </w:p>
    <w:bookmarkEnd w:id="4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отраслевых (функциональных) органов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5" w:name="sub_25"/>
      <w:r>
        <w:rPr>
          <w:sz w:val="28"/>
          <w:szCs w:val="28"/>
        </w:rPr>
        <w:t>5. Решение о проведении мониторинга принимается:</w:t>
      </w:r>
    </w:p>
    <w:bookmarkEnd w:id="5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решений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 - председателем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отношении постановлений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- главой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6" w:name="sub_26"/>
      <w:r>
        <w:rPr>
          <w:sz w:val="28"/>
          <w:szCs w:val="28"/>
        </w:rPr>
        <w:t xml:space="preserve">6. Решение о проведении мониторинга оформляется в форме правового акта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 w:rsidR="00AF5E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Мостовского района, проект которого вносит инициатор проведения мониторинга. В решении должны быть определены:</w:t>
      </w:r>
    </w:p>
    <w:bookmarkEnd w:id="6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мониторинга в соответствии с </w:t>
      </w:r>
      <w:hyperlink r:id="rId6" w:anchor="sub_2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настоящего Порядка;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проведения мониторинга в соответствии с пунктом 7 настоящего Порядка;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мониторинга.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7" w:name="sub_7"/>
      <w:r>
        <w:rPr>
          <w:sz w:val="28"/>
          <w:szCs w:val="28"/>
        </w:rPr>
        <w:t xml:space="preserve">7. Исполнителем проведения мониторинга является общий отдел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bookmarkEnd w:id="7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мониторинга могут создаваться рабочие группы из числа депутатов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района, руководителей структурных подразделений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8" w:name="sub_8"/>
      <w:r>
        <w:rPr>
          <w:sz w:val="28"/>
          <w:szCs w:val="28"/>
        </w:rPr>
        <w:t xml:space="preserve">8.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используется:</w:t>
      </w:r>
    </w:p>
    <w:bookmarkEnd w:id="8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судов общей юрисдикции и арбитражных судов;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деятельности администрации, муниципальных унитарных предприятий и учреждений;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поступившая из общественных, научных, правозащитных и иных организаций;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из средств массовой информации;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поступившая от граждан;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поступившая из иных источников.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9" w:name="sub_9"/>
      <w:r>
        <w:rPr>
          <w:sz w:val="28"/>
          <w:szCs w:val="28"/>
        </w:rPr>
        <w:t xml:space="preserve">9.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помимо видов информации, указанных в </w:t>
      </w:r>
      <w:hyperlink r:id="rId7" w:anchor="sub_8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8</w:t>
        </w:r>
      </w:hyperlink>
      <w:r>
        <w:rPr>
          <w:sz w:val="28"/>
          <w:szCs w:val="28"/>
        </w:rPr>
        <w:t xml:space="preserve"> настоящего Порядка, могут быть использованы, в том числе следующие виды информации:</w:t>
      </w:r>
    </w:p>
    <w:bookmarkEnd w:id="9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информация, получаемая на основе статистических показателей и дополняемая отраслевой статис</w:t>
      </w:r>
      <w:r w:rsidR="00AF5E7B">
        <w:rPr>
          <w:sz w:val="28"/>
          <w:szCs w:val="28"/>
        </w:rPr>
        <w:t xml:space="preserve">тикой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социологическая информация, формируемая на основе социологических исследований.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0" w:name="sub_10"/>
      <w:r>
        <w:rPr>
          <w:sz w:val="28"/>
          <w:szCs w:val="28"/>
        </w:rPr>
        <w:t xml:space="preserve">10.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нормативных правовых актов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обобщается, анализируется и оценивается информация о практике их применения по следующим показателям:</w:t>
      </w:r>
    </w:p>
    <w:bookmarkEnd w:id="10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гарантированных прав, свобод и законных интересов человека и гражданина;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исполнительной власти, органов государственной власти субъектов Российской Федерации, муниципальных нормативных правовых </w:t>
      </w:r>
      <w:r>
        <w:rPr>
          <w:sz w:val="28"/>
          <w:szCs w:val="28"/>
        </w:rPr>
        <w:lastRenderedPageBreak/>
        <w:t>актов, необходимость принятия (издания) которых предусмотрена актами большей юридической силы;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пределов компетенции органа при издании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неполнота в правовом регулировании общественных отношений;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коллизия норм права;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юридико-технического характера;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искажение смысла положений нормативного правового акта при его применении;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или необоснованные решения, действия (бездействие) при применении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норм, позволяющих расширительно толковать компетенцию органов местного самоуправления;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(отсутствие) единообразной практики применения нормативных правовых актов;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содержание заявлений по вопросам разъяснения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1" w:name="sub_1001"/>
      <w:r>
        <w:rPr>
          <w:sz w:val="28"/>
          <w:szCs w:val="28"/>
        </w:rPr>
        <w:t xml:space="preserve">11. В целях реализации антикоррупционной политики и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(отмены) муниципальных нормативных правовых актов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обобщается, анализируется и оценивается информация о практике их применения по следующим показателям:</w:t>
      </w:r>
    </w:p>
    <w:bookmarkEnd w:id="11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несоблюдение пределов компет</w:t>
      </w:r>
      <w:r w:rsidR="00AF5E7B">
        <w:rPr>
          <w:sz w:val="28"/>
          <w:szCs w:val="28"/>
        </w:rPr>
        <w:t xml:space="preserve">енции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при издании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или необоснованные решения, действия (бездействие) при применении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встречающиеся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нормативных правовых актах;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приведения нормативных правовых актов в соответствие с </w:t>
      </w:r>
      <w:hyperlink r:id="rId8" w:anchor="sub_1001" w:history="1">
        <w:r>
          <w:rPr>
            <w:rStyle w:val="a3"/>
            <w:bCs/>
            <w:color w:val="auto"/>
            <w:sz w:val="28"/>
            <w:szCs w:val="28"/>
            <w:u w:val="none"/>
          </w:rPr>
          <w:t>антикоррупционным 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2" w:name="sub_13"/>
      <w:r>
        <w:rPr>
          <w:sz w:val="28"/>
          <w:szCs w:val="28"/>
        </w:rPr>
        <w:t xml:space="preserve">12. При необходимости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может быть осуществлен по дополнительным показателям, определя</w:t>
      </w:r>
      <w:r w:rsidR="00AF5E7B">
        <w:rPr>
          <w:sz w:val="28"/>
          <w:szCs w:val="28"/>
        </w:rPr>
        <w:t xml:space="preserve">емым администрацией 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3" w:name="sub_14"/>
      <w:bookmarkEnd w:id="12"/>
      <w:r>
        <w:rPr>
          <w:sz w:val="28"/>
          <w:szCs w:val="28"/>
        </w:rPr>
        <w:t>13. По результатам проведения мониторинга исполнитель проведения мониторинга готовит информацию о результатах мониторинга.</w:t>
      </w:r>
    </w:p>
    <w:bookmarkEnd w:id="13"/>
    <w:p w:rsidR="008842D9" w:rsidRDefault="008842D9" w:rsidP="008842D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информации о результатах мониторинга должны быть отражены показатели (при их наличии), установленные </w:t>
      </w:r>
      <w:r>
        <w:rPr>
          <w:bCs/>
          <w:sz w:val="28"/>
          <w:szCs w:val="28"/>
        </w:rPr>
        <w:t>пунктами 10 - 11</w:t>
      </w:r>
      <w:r>
        <w:rPr>
          <w:sz w:val="28"/>
          <w:szCs w:val="28"/>
        </w:rPr>
        <w:t xml:space="preserve"> настоящего Порядка, а также предложены меры по повышению эффективности реализации нормативного правового</w:t>
      </w:r>
      <w:r w:rsidR="00AF5E7B">
        <w:rPr>
          <w:sz w:val="28"/>
          <w:szCs w:val="28"/>
        </w:rPr>
        <w:t xml:space="preserve"> акта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или обоснована необходимость его изменения, признания его утратившим силу, принятия нового нормативного</w:t>
      </w:r>
      <w:r w:rsidR="00AF5E7B">
        <w:rPr>
          <w:sz w:val="28"/>
          <w:szCs w:val="28"/>
        </w:rPr>
        <w:t xml:space="preserve"> акта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  <w:proofErr w:type="gramEnd"/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направляется инициаторам проведения мониторинга и должностным лицам, принявшим решение о проведении мониторинга.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4" w:name="sub_15"/>
      <w:r>
        <w:rPr>
          <w:sz w:val="28"/>
          <w:szCs w:val="28"/>
        </w:rPr>
        <w:t>14. Должностное лицо, принявшее решение о проведении мониторинга, в течение месяца со дня получения информации о результатах мониторинга принимает решение по результатам мониторинга, которое должно содержать рекомендации, предложения, поручения, информацию об ответственных должностных лицах и сроках исполнения данного решения, в том числе одно или более из нижеперечисленных предложений:</w:t>
      </w:r>
    </w:p>
    <w:bookmarkEnd w:id="14"/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в план нормотворческой и контрольной </w:t>
      </w:r>
      <w:r w:rsidR="00AF5E7B">
        <w:rPr>
          <w:sz w:val="28"/>
          <w:szCs w:val="28"/>
        </w:rPr>
        <w:t xml:space="preserve">деятельности Совета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района, планы действий и меропр</w:t>
      </w:r>
      <w:r w:rsidR="00AF5E7B">
        <w:rPr>
          <w:sz w:val="28"/>
          <w:szCs w:val="28"/>
        </w:rPr>
        <w:t xml:space="preserve">иятий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 изменении нормативного правового</w:t>
      </w:r>
      <w:r w:rsidR="00AF5E7B">
        <w:rPr>
          <w:sz w:val="28"/>
          <w:szCs w:val="28"/>
        </w:rPr>
        <w:t xml:space="preserve"> акта администрации 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 w:rsidR="00AF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Мостовского района, о признании его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силу, принятии нового нормативного правового акта;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проведении дополнительных мероприятий, о совершенствовании проводимых мероприятий, направленных на повышение эффективности реализации нормативных правовых </w:t>
      </w:r>
      <w:r w:rsidR="00AF5E7B">
        <w:rPr>
          <w:sz w:val="28"/>
          <w:szCs w:val="28"/>
        </w:rPr>
        <w:t xml:space="preserve">актов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района;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 устранении выявленных в ходе мониторинга нарушений нормативных правовых </w:t>
      </w:r>
      <w:r w:rsidR="00AF5E7B">
        <w:rPr>
          <w:sz w:val="28"/>
          <w:szCs w:val="28"/>
        </w:rPr>
        <w:t xml:space="preserve">актов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5" w:name="sub_16"/>
      <w:r>
        <w:rPr>
          <w:sz w:val="28"/>
          <w:szCs w:val="28"/>
        </w:rPr>
        <w:t>15. Информация о результатах мониторинга и решение, принимаемое по результатам мониторинга, может использоваться при подготовке ежег</w:t>
      </w:r>
      <w:r w:rsidR="00AF5E7B">
        <w:rPr>
          <w:sz w:val="28"/>
          <w:szCs w:val="28"/>
        </w:rPr>
        <w:t xml:space="preserve">одного отчета главы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района.</w:t>
      </w:r>
    </w:p>
    <w:p w:rsidR="008842D9" w:rsidRDefault="008842D9" w:rsidP="008842D9">
      <w:pPr>
        <w:ind w:firstLine="567"/>
        <w:jc w:val="both"/>
        <w:rPr>
          <w:sz w:val="28"/>
          <w:szCs w:val="28"/>
        </w:rPr>
      </w:pPr>
      <w:bookmarkStart w:id="16" w:name="sub_17"/>
      <w:bookmarkEnd w:id="15"/>
      <w:r>
        <w:rPr>
          <w:sz w:val="28"/>
          <w:szCs w:val="28"/>
        </w:rPr>
        <w:t xml:space="preserve">16. Решение, принятое по результатам мониторинга, размещается на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proofErr w:type="spellStart"/>
      <w:r w:rsidR="00AF5E7B"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 в информационно-телекоммуникационной сети Интернет.</w:t>
      </w:r>
    </w:p>
    <w:bookmarkEnd w:id="16"/>
    <w:p w:rsidR="008842D9" w:rsidRDefault="008842D9" w:rsidP="008842D9">
      <w:pPr>
        <w:jc w:val="both"/>
        <w:rPr>
          <w:sz w:val="28"/>
          <w:szCs w:val="28"/>
        </w:rPr>
      </w:pPr>
    </w:p>
    <w:p w:rsidR="008842D9" w:rsidRDefault="008842D9" w:rsidP="008842D9">
      <w:pPr>
        <w:shd w:val="clear" w:color="auto" w:fill="FFFFFF"/>
        <w:ind w:right="-1"/>
        <w:jc w:val="both"/>
        <w:rPr>
          <w:sz w:val="28"/>
          <w:szCs w:val="28"/>
        </w:rPr>
      </w:pPr>
    </w:p>
    <w:p w:rsidR="00AF5E7B" w:rsidRDefault="008842D9" w:rsidP="00AF5E7B">
      <w:pPr>
        <w:shd w:val="clear" w:color="auto" w:fill="FFFFFF"/>
        <w:tabs>
          <w:tab w:val="left" w:pos="748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842D9" w:rsidRDefault="00AF5E7B" w:rsidP="00AF5E7B">
      <w:pPr>
        <w:shd w:val="clear" w:color="auto" w:fill="FFFFFF"/>
        <w:tabs>
          <w:tab w:val="left" w:pos="7485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8842D9" w:rsidRDefault="008842D9" w:rsidP="008842D9">
      <w:pPr>
        <w:rPr>
          <w:b/>
          <w:sz w:val="28"/>
          <w:szCs w:val="28"/>
        </w:rPr>
      </w:pPr>
    </w:p>
    <w:p w:rsidR="008842D9" w:rsidRDefault="008842D9" w:rsidP="008842D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768D" w:rsidRPr="008842D9" w:rsidRDefault="0047768D">
      <w:pPr>
        <w:rPr>
          <w:sz w:val="28"/>
          <w:szCs w:val="28"/>
        </w:rPr>
      </w:pPr>
    </w:p>
    <w:sectPr w:rsidR="0047768D" w:rsidRPr="008842D9" w:rsidSect="004C37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2D9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20029A"/>
    <w:rsid w:val="00212E1D"/>
    <w:rsid w:val="00217240"/>
    <w:rsid w:val="00217DF1"/>
    <w:rsid w:val="0022321C"/>
    <w:rsid w:val="002309D0"/>
    <w:rsid w:val="00237632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64639"/>
    <w:rsid w:val="00464B9F"/>
    <w:rsid w:val="00471502"/>
    <w:rsid w:val="00472DB3"/>
    <w:rsid w:val="004740D4"/>
    <w:rsid w:val="0047768D"/>
    <w:rsid w:val="00481B01"/>
    <w:rsid w:val="00486823"/>
    <w:rsid w:val="00494EA4"/>
    <w:rsid w:val="004A01A4"/>
    <w:rsid w:val="004A2E42"/>
    <w:rsid w:val="004C3770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61C50"/>
    <w:rsid w:val="00877036"/>
    <w:rsid w:val="00877F75"/>
    <w:rsid w:val="00882360"/>
    <w:rsid w:val="008842D9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AF5E7B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AB"/>
    <w:rsid w:val="00D166F1"/>
    <w:rsid w:val="00D338D3"/>
    <w:rsid w:val="00D35FBE"/>
    <w:rsid w:val="00D44056"/>
    <w:rsid w:val="00D47188"/>
    <w:rsid w:val="00D50F90"/>
    <w:rsid w:val="00D552BB"/>
    <w:rsid w:val="00D67938"/>
    <w:rsid w:val="00D67C5F"/>
    <w:rsid w:val="00D729DC"/>
    <w:rsid w:val="00D7442D"/>
    <w:rsid w:val="00D827D5"/>
    <w:rsid w:val="00D916CD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4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42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&#1071;&#1056;&#1054;&#1057;&#1051;&#1040;&#1042;&#1057;&#1050;&#1054;&#1045;%20&#1057;&#1055;%2092%20&#1086;&#1090;%2029.06.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ownloads\&#1071;&#1056;&#1054;&#1057;&#1051;&#1040;&#1042;&#1057;&#1050;&#1054;&#1045;%20&#1057;&#1055;%2092%20&#1086;&#1090;%2029.06.201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ownloads\&#1071;&#1056;&#1054;&#1057;&#1051;&#1040;&#1042;&#1057;&#1050;&#1054;&#1045;%20&#1057;&#1055;%2092%20&#1086;&#1090;%2029.06.201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00130.1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cp:lastPrinted>2015-07-02T04:57:00Z</cp:lastPrinted>
  <dcterms:created xsi:type="dcterms:W3CDTF">2015-07-01T13:25:00Z</dcterms:created>
  <dcterms:modified xsi:type="dcterms:W3CDTF">2015-07-02T05:02:00Z</dcterms:modified>
</cp:coreProperties>
</file>